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9CC76" w14:textId="77777777" w:rsidR="005E720B" w:rsidRPr="001530EE" w:rsidRDefault="001530EE">
      <w:pPr>
        <w:pStyle w:val="Ttulo1"/>
        <w:spacing w:before="0" w:beforeAutospacing="0" w:after="80" w:afterAutospacing="0"/>
        <w:jc w:val="center"/>
        <w:rPr>
          <w:color w:val="00205C"/>
          <w:sz w:val="32"/>
          <w:szCs w:val="32"/>
          <w:lang w:val="pt-BR"/>
        </w:rPr>
      </w:pPr>
      <w:r w:rsidRPr="001530EE">
        <w:rPr>
          <w:rFonts w:ascii="Calibri" w:eastAsia="Calibri" w:hAnsi="Calibri" w:cs="Calibri"/>
          <w:color w:val="00205C"/>
          <w:sz w:val="32"/>
          <w:szCs w:val="32"/>
          <w:lang w:val="pt-BR" w:bidi="pt-BR"/>
        </w:rPr>
        <w:t xml:space="preserve">Diálogo Internacional sobre Financiamento Sustentável </w:t>
      </w:r>
      <w:r w:rsidRPr="001530EE">
        <w:rPr>
          <w:rFonts w:ascii="Calibri" w:eastAsia="Calibri" w:hAnsi="Calibri" w:cs="Calibri"/>
          <w:color w:val="00205C"/>
          <w:sz w:val="32"/>
          <w:szCs w:val="32"/>
          <w:lang w:val="pt-BR" w:bidi="pt-BR"/>
        </w:rPr>
        <w:br/>
        <w:t>para Doenças Não Transmissíveis e Saúde Mental</w:t>
      </w:r>
    </w:p>
    <w:p w14:paraId="5DF9CC77" w14:textId="77777777" w:rsidR="005E720B" w:rsidRPr="001530EE" w:rsidRDefault="001530EE">
      <w:pPr>
        <w:spacing w:after="0"/>
        <w:jc w:val="center"/>
        <w:rPr>
          <w:b/>
          <w:bCs/>
          <w:color w:val="009ADE"/>
          <w:sz w:val="32"/>
          <w:szCs w:val="32"/>
          <w:lang w:val="pt-BR"/>
        </w:rPr>
      </w:pPr>
      <w:r w:rsidRPr="001530EE">
        <w:rPr>
          <w:rFonts w:ascii="Calibri" w:eastAsia="Calibri" w:hAnsi="Calibri" w:cs="Calibri"/>
          <w:b/>
          <w:color w:val="009ADE"/>
          <w:sz w:val="32"/>
          <w:szCs w:val="32"/>
          <w:lang w:val="pt-BR" w:bidi="pt-BR"/>
        </w:rPr>
        <w:t>Consulta pela internet | Modelo de feedback</w:t>
      </w:r>
    </w:p>
    <w:p w14:paraId="5DF9CC78" w14:textId="77777777" w:rsidR="005E720B" w:rsidRDefault="001530EE">
      <w:pPr>
        <w:spacing w:after="0"/>
        <w:jc w:val="center"/>
        <w:rPr>
          <w:rFonts w:ascii="Aptos" w:eastAsia="Aptos" w:hAnsi="Aptos" w:cs="Aptos"/>
          <w:color w:val="4C94D8"/>
          <w:lang w:val="pt-BR" w:bidi="pt-BR"/>
        </w:rPr>
      </w:pPr>
      <w:r w:rsidRPr="001530EE">
        <w:rPr>
          <w:rFonts w:ascii="Aptos" w:eastAsia="Aptos" w:hAnsi="Aptos" w:cs="Aptos"/>
          <w:color w:val="4C94D8"/>
          <w:lang w:val="pt-BR" w:bidi="pt-BR"/>
        </w:rPr>
        <w:t xml:space="preserve"> </w:t>
      </w:r>
    </w:p>
    <w:p w14:paraId="23867951" w14:textId="4CBB4828" w:rsidR="00D61AB4" w:rsidRPr="00D61AB4" w:rsidRDefault="00D61AB4" w:rsidP="00D61AB4">
      <w:pPr>
        <w:spacing w:after="0"/>
        <w:rPr>
          <w:rStyle w:val="nfasis"/>
          <w:rFonts w:ascii="Calibri" w:hAnsi="Calibri" w:cs="Calibri"/>
          <w:color w:val="000000" w:themeColor="text1"/>
          <w:shd w:val="clear" w:color="auto" w:fill="FFFFFF"/>
          <w:lang w:val="pt-BR"/>
        </w:rPr>
      </w:pPr>
      <w:r w:rsidRPr="00D61AB4">
        <w:rPr>
          <w:rFonts w:ascii="Calibri" w:hAnsi="Calibri" w:cs="Calibri"/>
          <w:color w:val="000000" w:themeColor="text1"/>
          <w:shd w:val="clear" w:color="auto" w:fill="FFFFFF"/>
          <w:lang w:val="pt-BR"/>
        </w:rPr>
        <w:t>Nota:</w:t>
      </w:r>
      <w:r w:rsidRPr="00D61AB4">
        <w:rPr>
          <w:rStyle w:val="nfasis"/>
          <w:rFonts w:ascii="Calibri" w:hAnsi="Calibri" w:cs="Calibri"/>
          <w:color w:val="000000" w:themeColor="text1"/>
          <w:shd w:val="clear" w:color="auto" w:fill="FFFFFF"/>
          <w:lang w:val="pt-BR"/>
        </w:rPr>
        <w:t> É preferível que os formulários sejam preenchidos em inglês, mas aceitará aqueles que estão em outros idiomas oficiais da ONU. Estas últimas serão traduzidas usando um tradutor on-line, para que algumas mensagens possam ser desvirtuadas.</w:t>
      </w:r>
    </w:p>
    <w:p w14:paraId="4D2FA53B" w14:textId="77777777" w:rsidR="00D61AB4" w:rsidRPr="00D61AB4" w:rsidRDefault="00D61AB4" w:rsidP="00D61AB4">
      <w:pPr>
        <w:spacing w:after="0"/>
        <w:rPr>
          <w:rFonts w:ascii="Calibri" w:hAnsi="Calibri" w:cs="Calibri"/>
          <w:lang w:val="pt-BR"/>
        </w:rPr>
      </w:pPr>
    </w:p>
    <w:tbl>
      <w:tblPr>
        <w:tblStyle w:val="Tablaconcuadrcula"/>
        <w:tblW w:w="10610" w:type="dxa"/>
        <w:tblBorders>
          <w:top w:val="single" w:sz="2" w:space="0" w:color="00205C"/>
          <w:left w:val="single" w:sz="2" w:space="0" w:color="00205C"/>
          <w:bottom w:val="single" w:sz="2" w:space="0" w:color="00205C"/>
          <w:right w:val="single" w:sz="2" w:space="0" w:color="00205C"/>
          <w:insideH w:val="single" w:sz="2" w:space="0" w:color="00205C"/>
          <w:insideV w:val="single" w:sz="2" w:space="0" w:color="00205C"/>
        </w:tblBorders>
        <w:tblLayout w:type="fixed"/>
        <w:tblLook w:val="06A0" w:firstRow="1" w:lastRow="0" w:firstColumn="1" w:lastColumn="0" w:noHBand="1" w:noVBand="1"/>
      </w:tblPr>
      <w:tblGrid>
        <w:gridCol w:w="10610"/>
      </w:tblGrid>
      <w:tr w:rsidR="005E720B" w:rsidRPr="001530EE" w14:paraId="5DF9CC7A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  <w:vAlign w:val="center"/>
          </w:tcPr>
          <w:p w14:paraId="5DF9CC79" w14:textId="77777777" w:rsidR="005E720B" w:rsidRPr="001530EE" w:rsidRDefault="001530EE">
            <w:pPr>
              <w:spacing w:after="0"/>
              <w:rPr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Organização:</w:t>
            </w:r>
          </w:p>
        </w:tc>
      </w:tr>
      <w:tr w:rsidR="005E720B" w:rsidRPr="001530EE" w14:paraId="5DF9CC84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7B" w14:textId="77777777" w:rsidR="005E720B" w:rsidRPr="001530EE" w:rsidRDefault="001530EE">
            <w:pPr>
              <w:spacing w:after="120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Tipo de organização (marque sua seleção com um X)</w:t>
            </w:r>
            <w:r w:rsidRPr="001530EE">
              <w:rPr>
                <w:rFonts w:ascii="Calibri" w:eastAsia="Calibri" w:hAnsi="Calibri" w:cs="Calibri"/>
                <w:color w:val="000000" w:themeColor="text1"/>
                <w:lang w:val="pt-BR" w:bidi="pt-BR"/>
              </w:rPr>
              <w:t>:</w:t>
            </w:r>
          </w:p>
          <w:p w14:paraId="5DF9CC7C" w14:textId="77777777" w:rsidR="005E720B" w:rsidRPr="001530EE" w:rsidRDefault="001530EE">
            <w:pPr>
              <w:spacing w:after="120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color w:val="000000" w:themeColor="text1"/>
                <w:lang w:val="pt-BR" w:bidi="pt-BR"/>
              </w:rPr>
              <w:t>Estados Membros</w:t>
            </w:r>
          </w:p>
          <w:p w14:paraId="5DF9CC7D" w14:textId="77777777" w:rsidR="005E720B" w:rsidRPr="001530EE" w:rsidRDefault="001530EE">
            <w:pPr>
              <w:spacing w:after="120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color w:val="000000" w:themeColor="text1"/>
                <w:lang w:val="pt-BR" w:bidi="pt-BR"/>
              </w:rPr>
              <w:t>Agências, programas e fundos das Nações Unidas e outras organizações multilaterais</w:t>
            </w:r>
          </w:p>
          <w:p w14:paraId="5DF9CC7E" w14:textId="77777777" w:rsidR="005E720B" w:rsidRPr="001530EE" w:rsidRDefault="001530EE">
            <w:pPr>
              <w:spacing w:after="0"/>
              <w:ind w:left="22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color w:val="000000" w:themeColor="text1"/>
                <w:lang w:val="pt-BR" w:bidi="pt-BR"/>
              </w:rPr>
              <w:t xml:space="preserve">Agentes não estatais </w:t>
            </w:r>
          </w:p>
          <w:p w14:paraId="5DF9CC7F" w14:textId="0DFFDD2E" w:rsidR="005E720B" w:rsidRPr="001530EE" w:rsidRDefault="001530EE">
            <w:pPr>
              <w:pStyle w:val="Prrafodelista"/>
              <w:numPr>
                <w:ilvl w:val="1"/>
                <w:numId w:val="1"/>
              </w:numPr>
              <w:spacing w:after="0"/>
              <w:ind w:left="589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pt-BR" w:bidi="pt-BR"/>
              </w:rPr>
              <w:t>o</w:t>
            </w:r>
            <w:r w:rsidRPr="001530EE">
              <w:rPr>
                <w:rFonts w:ascii="Calibri" w:eastAsia="Calibri" w:hAnsi="Calibri" w:cs="Calibri"/>
                <w:color w:val="000000" w:themeColor="text1"/>
                <w:lang w:val="pt-BR" w:bidi="pt-BR"/>
              </w:rPr>
              <w:t>rganizações não governamentais, inclusive organizações que representam a experiência vivida de problemas de saúde</w:t>
            </w:r>
          </w:p>
          <w:p w14:paraId="5DF9CC80" w14:textId="77777777" w:rsidR="005E720B" w:rsidRPr="001530EE" w:rsidRDefault="001530EE">
            <w:pPr>
              <w:pStyle w:val="Prrafodelista"/>
              <w:numPr>
                <w:ilvl w:val="1"/>
                <w:numId w:val="1"/>
              </w:numPr>
              <w:spacing w:after="0"/>
              <w:ind w:left="589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color w:val="000000" w:themeColor="text1"/>
                <w:lang w:val="pt-BR" w:bidi="pt-BR"/>
              </w:rPr>
              <w:t>fundações filantrópicas</w:t>
            </w:r>
          </w:p>
          <w:p w14:paraId="5DF9CC81" w14:textId="77777777" w:rsidR="005E720B" w:rsidRPr="001530EE" w:rsidRDefault="001530EE">
            <w:pPr>
              <w:pStyle w:val="Prrafodelista"/>
              <w:numPr>
                <w:ilvl w:val="1"/>
                <w:numId w:val="1"/>
              </w:numPr>
              <w:spacing w:after="0"/>
              <w:ind w:left="589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color w:val="000000" w:themeColor="text1"/>
                <w:lang w:val="pt-BR" w:bidi="pt-BR"/>
              </w:rPr>
              <w:t xml:space="preserve">instituições acadêmicas </w:t>
            </w:r>
          </w:p>
          <w:p w14:paraId="5DF9CC82" w14:textId="2550A7EB" w:rsidR="005E720B" w:rsidRPr="001530EE" w:rsidRDefault="001530EE">
            <w:pPr>
              <w:pStyle w:val="Prrafodelista"/>
              <w:numPr>
                <w:ilvl w:val="1"/>
                <w:numId w:val="1"/>
              </w:numPr>
              <w:spacing w:after="0"/>
              <w:ind w:left="589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color w:val="000000" w:themeColor="text1"/>
                <w:lang w:val="pt-BR" w:bidi="pt-BR"/>
              </w:rPr>
              <w:t>outr</w:t>
            </w:r>
            <w:r>
              <w:rPr>
                <w:rFonts w:ascii="Calibri" w:eastAsia="Calibri" w:hAnsi="Calibri" w:cs="Calibri"/>
                <w:color w:val="000000" w:themeColor="text1"/>
                <w:lang w:val="pt-BR" w:bidi="pt-BR"/>
              </w:rPr>
              <w:t>o</w:t>
            </w:r>
            <w:r w:rsidRPr="001530EE">
              <w:rPr>
                <w:rFonts w:ascii="Calibri" w:eastAsia="Calibri" w:hAnsi="Calibri" w:cs="Calibri"/>
                <w:color w:val="000000" w:themeColor="text1"/>
                <w:lang w:val="pt-BR" w:bidi="pt-BR"/>
              </w:rPr>
              <w:t xml:space="preserve"> (especifique):</w:t>
            </w:r>
          </w:p>
          <w:p w14:paraId="5DF9CC83" w14:textId="77777777" w:rsidR="005E720B" w:rsidRPr="001530EE" w:rsidRDefault="005E720B">
            <w:pPr>
              <w:spacing w:after="0"/>
              <w:ind w:left="1080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</w:tc>
      </w:tr>
      <w:tr w:rsidR="005E720B" w:rsidRPr="00D61AB4" w14:paraId="5DF9CC86" w14:textId="77777777">
        <w:trPr>
          <w:trHeight w:val="360"/>
        </w:trPr>
        <w:tc>
          <w:tcPr>
            <w:tcW w:w="106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F9CC85" w14:textId="77777777" w:rsidR="005E720B" w:rsidRPr="001530EE" w:rsidRDefault="001530EE">
            <w:pPr>
              <w:spacing w:after="0"/>
              <w:rPr>
                <w:b/>
                <w:bCs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Amplie cada um dos campos conforme necessário para fornecer feedback</w:t>
            </w:r>
            <w:r w:rsidRPr="001530EE">
              <w:rPr>
                <w:rFonts w:ascii="Calibri" w:eastAsia="Calibri" w:hAnsi="Calibri" w:cs="Calibri"/>
                <w:color w:val="000000" w:themeColor="text1"/>
                <w:lang w:val="pt-BR" w:bidi="pt-BR"/>
              </w:rPr>
              <w:t>:</w:t>
            </w:r>
          </w:p>
        </w:tc>
      </w:tr>
      <w:tr w:rsidR="005E720B" w:rsidRPr="00D61AB4" w14:paraId="5DF9CC8D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87" w14:textId="77777777" w:rsidR="005E720B" w:rsidRPr="001530EE" w:rsidRDefault="001530EE">
            <w:pPr>
              <w:spacing w:after="0"/>
              <w:jc w:val="both"/>
              <w:rPr>
                <w:b/>
                <w:bCs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Resumo preliminar dos documentos técnicos de referência</w:t>
            </w:r>
          </w:p>
          <w:p w14:paraId="5DF9CC88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89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8A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8B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8C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</w:tc>
      </w:tr>
      <w:tr w:rsidR="005E720B" w:rsidRPr="00D61AB4" w14:paraId="5DF9CC94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8E" w14:textId="77777777" w:rsidR="005E720B" w:rsidRPr="001530EE" w:rsidRDefault="001530EE">
            <w:pPr>
              <w:spacing w:after="0"/>
              <w:jc w:val="both"/>
              <w:rPr>
                <w:b/>
                <w:bCs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Versão preliminar das novas mensagens que servirão de base para o documento final do Diálogo Internacional sobre Financiamento Sustentável</w:t>
            </w:r>
          </w:p>
          <w:p w14:paraId="5DF9CC8F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90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91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92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93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</w:tc>
      </w:tr>
      <w:tr w:rsidR="005E720B" w:rsidRPr="00D61AB4" w14:paraId="5DF9CC9B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95" w14:textId="77777777" w:rsidR="005E720B" w:rsidRPr="001530EE" w:rsidRDefault="001530EE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 xml:space="preserve">1. Gastos de saúde relacionados a </w:t>
            </w:r>
            <w:proofErr w:type="spellStart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DNTs</w:t>
            </w:r>
            <w:proofErr w:type="spellEnd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 xml:space="preserve"> e saúde mental: o que as contas nacionais de saúde podem nos ensinar?</w:t>
            </w:r>
          </w:p>
          <w:p w14:paraId="5DF9CC96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97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98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99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9A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</w:tc>
      </w:tr>
      <w:tr w:rsidR="005E720B" w:rsidRPr="00D61AB4" w14:paraId="5DF9CCA2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9C" w14:textId="77777777" w:rsidR="005E720B" w:rsidRPr="001530EE" w:rsidRDefault="001530EE">
            <w:pPr>
              <w:spacing w:after="0"/>
              <w:jc w:val="both"/>
              <w:rPr>
                <w:b/>
                <w:bCs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 xml:space="preserve">2. Financiamento externo para </w:t>
            </w:r>
            <w:proofErr w:type="spellStart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DNTs</w:t>
            </w:r>
            <w:proofErr w:type="spellEnd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 xml:space="preserve"> e saúde mental: qual é o papel da assistência ao desenvolvimento para a saúde?</w:t>
            </w:r>
          </w:p>
          <w:p w14:paraId="5DF9CC9D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9E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9F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A0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A1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</w:tc>
      </w:tr>
      <w:tr w:rsidR="005E720B" w:rsidRPr="00D61AB4" w14:paraId="5DF9CCA9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A3" w14:textId="77777777" w:rsidR="005E720B" w:rsidRPr="001530EE" w:rsidRDefault="001530EE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 xml:space="preserve">3. Financiamento interno para </w:t>
            </w:r>
            <w:proofErr w:type="spellStart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DNTs</w:t>
            </w:r>
            <w:proofErr w:type="spellEnd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 xml:space="preserve"> e saúde mental: qual é a função dos impostos de saúde e de outras medidas fiscais?</w:t>
            </w:r>
          </w:p>
          <w:p w14:paraId="5DF9CCA4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A5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A6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A7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A8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</w:tc>
      </w:tr>
      <w:tr w:rsidR="005E720B" w:rsidRPr="00D61AB4" w14:paraId="5DF9CCB0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AA" w14:textId="77777777" w:rsidR="005E720B" w:rsidRPr="001530EE" w:rsidRDefault="001530EE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lastRenderedPageBreak/>
              <w:t xml:space="preserve">4. Financiamento interno para </w:t>
            </w:r>
            <w:proofErr w:type="spellStart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DNTs</w:t>
            </w:r>
            <w:proofErr w:type="spellEnd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 xml:space="preserve"> e saúde mental: prioridades, compras e pagamentos de provedores</w:t>
            </w:r>
          </w:p>
          <w:p w14:paraId="5DF9CCAB" w14:textId="77777777" w:rsidR="005E720B" w:rsidRPr="001530EE" w:rsidRDefault="005E720B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</w:pPr>
          </w:p>
          <w:p w14:paraId="5DF9CCAC" w14:textId="77777777" w:rsidR="005E720B" w:rsidRPr="001530EE" w:rsidRDefault="005E720B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AD" w14:textId="77777777" w:rsidR="005E720B" w:rsidRPr="001530EE" w:rsidRDefault="005E720B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AE" w14:textId="77777777" w:rsidR="005E720B" w:rsidRPr="001530EE" w:rsidRDefault="005E720B">
            <w:pPr>
              <w:keepNext/>
              <w:keepLines/>
              <w:spacing w:after="0"/>
              <w:jc w:val="both"/>
              <w:rPr>
                <w:lang w:val="pt-BR"/>
              </w:rPr>
            </w:pPr>
          </w:p>
          <w:p w14:paraId="5DF9CCAF" w14:textId="77777777" w:rsidR="005E720B" w:rsidRPr="001530EE" w:rsidRDefault="005E720B">
            <w:pPr>
              <w:keepNext/>
              <w:keepLines/>
              <w:spacing w:after="0"/>
              <w:jc w:val="both"/>
              <w:rPr>
                <w:lang w:val="pt-BR"/>
              </w:rPr>
            </w:pPr>
          </w:p>
        </w:tc>
      </w:tr>
      <w:tr w:rsidR="005E720B" w:rsidRPr="00D61AB4" w14:paraId="5DF9CCB7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B1" w14:textId="77777777" w:rsidR="005E720B" w:rsidRPr="001530EE" w:rsidRDefault="001530EE">
            <w:pPr>
              <w:spacing w:after="0"/>
              <w:jc w:val="both"/>
              <w:rPr>
                <w:b/>
                <w:bCs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 xml:space="preserve">5. Proteção financeira para </w:t>
            </w:r>
            <w:proofErr w:type="spellStart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DNTs</w:t>
            </w:r>
            <w:proofErr w:type="spellEnd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 xml:space="preserve"> e saúde mental: por que ela é necessária e como fazê-lo?</w:t>
            </w:r>
          </w:p>
          <w:p w14:paraId="5DF9CCB2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B3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B4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B5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B6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</w:tc>
      </w:tr>
      <w:tr w:rsidR="005E720B" w:rsidRPr="00D61AB4" w14:paraId="5DF9CCBE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B8" w14:textId="77777777" w:rsidR="005E720B" w:rsidRPr="001530EE" w:rsidRDefault="001530EE">
            <w:pPr>
              <w:spacing w:after="0"/>
              <w:jc w:val="both"/>
              <w:rPr>
                <w:b/>
                <w:bCs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 xml:space="preserve">6. Recursos humanos em saúde: como aumentar as contribuições da força de trabalho para lidar com as </w:t>
            </w:r>
            <w:proofErr w:type="spellStart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DNTs</w:t>
            </w:r>
            <w:proofErr w:type="spellEnd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 xml:space="preserve"> e os problemas de saúde mental</w:t>
            </w:r>
          </w:p>
          <w:p w14:paraId="5DF9CCB9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BA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BB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BC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BD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</w:tc>
      </w:tr>
      <w:tr w:rsidR="005E720B" w:rsidRPr="00D61AB4" w14:paraId="5DF9CCC5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BF" w14:textId="77777777" w:rsidR="005E720B" w:rsidRPr="001530EE" w:rsidRDefault="001530EE">
            <w:pPr>
              <w:spacing w:after="0"/>
              <w:jc w:val="both"/>
              <w:rPr>
                <w:b/>
                <w:bCs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 xml:space="preserve">7. Estímulo ao investimento, à ação e à prestação de contas nas </w:t>
            </w:r>
            <w:proofErr w:type="spellStart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DNTs</w:t>
            </w:r>
            <w:proofErr w:type="spellEnd"/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 xml:space="preserve"> e na saúde mental: o papel da sociedade civil</w:t>
            </w:r>
          </w:p>
          <w:p w14:paraId="5DF9CCC0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C1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C2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C3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C4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</w:tc>
      </w:tr>
      <w:tr w:rsidR="005E720B" w:rsidRPr="001530EE" w14:paraId="5DF9CCC7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  <w:vAlign w:val="center"/>
          </w:tcPr>
          <w:p w14:paraId="5DF9CCC6" w14:textId="77777777" w:rsidR="005E720B" w:rsidRPr="001530EE" w:rsidRDefault="001530EE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Outros documentos</w:t>
            </w:r>
          </w:p>
        </w:tc>
      </w:tr>
      <w:tr w:rsidR="005E720B" w:rsidRPr="00D61AB4" w14:paraId="5DF9CCCE" w14:textId="77777777">
        <w:trPr>
          <w:trHeight w:val="459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C8" w14:textId="77777777" w:rsidR="005E720B" w:rsidRPr="001530EE" w:rsidRDefault="001530EE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Casos de investimento em doenças não transmissíveis, controle do tabaco e saúde mental</w:t>
            </w:r>
          </w:p>
          <w:p w14:paraId="5DF9CCC9" w14:textId="77777777" w:rsidR="005E720B" w:rsidRPr="001530EE" w:rsidRDefault="005E720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CA" w14:textId="77777777" w:rsidR="005E720B" w:rsidRPr="001530EE" w:rsidRDefault="005E720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CB" w14:textId="77777777" w:rsidR="005E720B" w:rsidRPr="001530EE" w:rsidRDefault="005E720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CC" w14:textId="77777777" w:rsidR="005E720B" w:rsidRPr="001530EE" w:rsidRDefault="005E720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CD" w14:textId="77777777" w:rsidR="005E720B" w:rsidRPr="001530EE" w:rsidRDefault="005E720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</w:tc>
      </w:tr>
      <w:tr w:rsidR="005E720B" w:rsidRPr="00D61AB4" w14:paraId="5DF9CCD5" w14:textId="77777777">
        <w:trPr>
          <w:trHeight w:val="1673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CF" w14:textId="77777777" w:rsidR="005E720B" w:rsidRPr="001530EE" w:rsidRDefault="001530EE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Financiamento humanitário em saúde para doenças não transmissíveis</w:t>
            </w:r>
          </w:p>
          <w:p w14:paraId="5DF9CCD0" w14:textId="77777777" w:rsidR="005E720B" w:rsidRPr="001530EE" w:rsidRDefault="005E720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D1" w14:textId="77777777" w:rsidR="005E720B" w:rsidRPr="001530EE" w:rsidRDefault="005E720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D2" w14:textId="77777777" w:rsidR="005E720B" w:rsidRPr="001530EE" w:rsidRDefault="005E720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D3" w14:textId="77777777" w:rsidR="005E720B" w:rsidRPr="001530EE" w:rsidRDefault="005E720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D4" w14:textId="77777777" w:rsidR="005E720B" w:rsidRPr="001530EE" w:rsidRDefault="005E720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</w:tc>
      </w:tr>
      <w:tr w:rsidR="005E720B" w:rsidRPr="00D61AB4" w14:paraId="5DF9CCDC" w14:textId="77777777">
        <w:trPr>
          <w:trHeight w:val="457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D6" w14:textId="77777777" w:rsidR="005E720B" w:rsidRPr="001530EE" w:rsidRDefault="001530EE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lang w:val="pt-BR"/>
              </w:rPr>
            </w:pPr>
            <w:r w:rsidRPr="001530EE">
              <w:rPr>
                <w:rFonts w:ascii="Calibri" w:eastAsia="Calibri" w:hAnsi="Calibri" w:cs="Calibri"/>
                <w:b/>
                <w:color w:val="000000" w:themeColor="text1"/>
                <w:lang w:val="pt-BR" w:bidi="pt-BR"/>
              </w:rPr>
              <w:t>Comentários gerais relevantes para vários documentos</w:t>
            </w:r>
            <w:r w:rsidRPr="001530EE">
              <w:rPr>
                <w:rFonts w:ascii="Calibri" w:eastAsia="Calibri" w:hAnsi="Calibri" w:cs="Calibri"/>
                <w:color w:val="000000" w:themeColor="text1"/>
                <w:lang w:val="pt-BR" w:bidi="pt-BR"/>
              </w:rPr>
              <w:t>:</w:t>
            </w:r>
          </w:p>
          <w:p w14:paraId="5DF9CCD7" w14:textId="77777777" w:rsidR="005E720B" w:rsidRPr="001530EE" w:rsidRDefault="005E720B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D8" w14:textId="77777777" w:rsidR="005E720B" w:rsidRPr="001530EE" w:rsidRDefault="005E720B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D9" w14:textId="77777777" w:rsidR="005E720B" w:rsidRPr="001530EE" w:rsidRDefault="005E720B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DA" w14:textId="77777777" w:rsidR="005E720B" w:rsidRPr="001530EE" w:rsidRDefault="005E720B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DB" w14:textId="77777777" w:rsidR="005E720B" w:rsidRPr="001530EE" w:rsidRDefault="005E720B">
            <w:pPr>
              <w:keepNext/>
              <w:keepLines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</w:tc>
      </w:tr>
      <w:tr w:rsidR="005E720B" w:rsidRPr="00D61AB4" w14:paraId="5DF9CCE3" w14:textId="77777777">
        <w:trPr>
          <w:trHeight w:val="360"/>
        </w:trPr>
        <w:tc>
          <w:tcPr>
            <w:tcW w:w="10610" w:type="dxa"/>
            <w:tcMar>
              <w:left w:w="108" w:type="dxa"/>
              <w:right w:w="108" w:type="dxa"/>
            </w:tcMar>
          </w:tcPr>
          <w:p w14:paraId="5DF9CCDD" w14:textId="77777777" w:rsidR="005E720B" w:rsidRPr="001530EE" w:rsidRDefault="001530EE">
            <w:pPr>
              <w:pStyle w:val="Textocomentario"/>
              <w:spacing w:after="0"/>
              <w:rPr>
                <w:sz w:val="22"/>
                <w:szCs w:val="22"/>
                <w:lang w:val="pt-BR"/>
              </w:rPr>
            </w:pPr>
            <w:r w:rsidRPr="001530EE">
              <w:rPr>
                <w:b/>
                <w:sz w:val="22"/>
                <w:szCs w:val="22"/>
                <w:lang w:val="pt-BR" w:bidi="pt-BR"/>
              </w:rPr>
              <w:t xml:space="preserve">Por último, sua organização tem alguma sugestão para novos compromissos dos Chefes de Governo com relação ao financiamento sustentável para </w:t>
            </w:r>
            <w:proofErr w:type="spellStart"/>
            <w:r w:rsidRPr="001530EE">
              <w:rPr>
                <w:b/>
                <w:sz w:val="22"/>
                <w:szCs w:val="22"/>
                <w:lang w:val="pt-BR" w:bidi="pt-BR"/>
              </w:rPr>
              <w:t>DNTs</w:t>
            </w:r>
            <w:proofErr w:type="spellEnd"/>
            <w:r w:rsidRPr="001530EE">
              <w:rPr>
                <w:b/>
                <w:sz w:val="22"/>
                <w:szCs w:val="22"/>
                <w:lang w:val="pt-BR" w:bidi="pt-BR"/>
              </w:rPr>
              <w:t xml:space="preserve"> e saúde mental</w:t>
            </w:r>
            <w:r w:rsidRPr="001530EE">
              <w:rPr>
                <w:sz w:val="22"/>
                <w:szCs w:val="22"/>
                <w:lang w:val="pt-BR" w:bidi="pt-BR"/>
              </w:rPr>
              <w:t>?</w:t>
            </w:r>
          </w:p>
          <w:p w14:paraId="5DF9CCDE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DF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E0" w14:textId="77777777" w:rsidR="005E720B" w:rsidRPr="001530EE" w:rsidRDefault="005E720B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</w:p>
          <w:p w14:paraId="5DF9CCE1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  <w:p w14:paraId="5DF9CCE2" w14:textId="77777777" w:rsidR="005E720B" w:rsidRPr="001530EE" w:rsidRDefault="005E720B">
            <w:pPr>
              <w:spacing w:after="0"/>
              <w:jc w:val="both"/>
              <w:rPr>
                <w:lang w:val="pt-BR"/>
              </w:rPr>
            </w:pPr>
          </w:p>
        </w:tc>
      </w:tr>
    </w:tbl>
    <w:p w14:paraId="5DF9CCE4" w14:textId="77777777" w:rsidR="005E720B" w:rsidRPr="001530EE" w:rsidRDefault="005E720B">
      <w:pPr>
        <w:rPr>
          <w:lang w:val="pt-BR"/>
        </w:rPr>
      </w:pPr>
    </w:p>
    <w:p w14:paraId="5DF9CCE5" w14:textId="77777777" w:rsidR="005E720B" w:rsidRPr="001530EE" w:rsidRDefault="0015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1530EE">
        <w:rPr>
          <w:rFonts w:ascii="Calibri" w:eastAsia="Times New Roman" w:hAnsi="Calibri" w:cs="Calibri"/>
          <w:b/>
          <w:color w:val="C00000"/>
          <w:shd w:val="clear" w:color="auto" w:fill="FFFFFF"/>
          <w:lang w:val="pt-BR" w:bidi="pt-BR"/>
        </w:rPr>
        <w:t xml:space="preserve">Envie este formulário preenchido para </w:t>
      </w:r>
      <w:hyperlink r:id="rId5" w:tgtFrame="_blank" w:history="1">
        <w:r w:rsidRPr="001530EE">
          <w:rPr>
            <w:rFonts w:ascii="Calibri" w:eastAsia="Times New Roman" w:hAnsi="Calibri" w:cs="Calibri"/>
            <w:b/>
            <w:color w:val="C00000"/>
            <w:u w:val="single"/>
            <w:shd w:val="clear" w:color="auto" w:fill="FFFFFF"/>
            <w:lang w:val="pt-BR" w:bidi="pt-BR"/>
          </w:rPr>
          <w:t>OnTheRoadTo2025@who.int</w:t>
        </w:r>
      </w:hyperlink>
      <w:r w:rsidRPr="001530EE">
        <w:rPr>
          <w:rFonts w:ascii="Calibri" w:eastAsia="Times New Roman" w:hAnsi="Calibri" w:cs="Calibri"/>
          <w:b/>
          <w:color w:val="C00000"/>
          <w:shd w:val="clear" w:color="auto" w:fill="FFFFFF"/>
          <w:lang w:val="pt-BR" w:bidi="pt-BR"/>
        </w:rPr>
        <w:t xml:space="preserve"> no período de 1 a 26 de maio de 2024</w:t>
      </w:r>
      <w:r w:rsidRPr="001530EE">
        <w:rPr>
          <w:rFonts w:ascii="Calibri" w:eastAsia="Times New Roman" w:hAnsi="Calibri" w:cs="Calibri"/>
          <w:color w:val="C00000"/>
          <w:shd w:val="clear" w:color="auto" w:fill="FFFFFF"/>
          <w:lang w:val="pt-BR" w:bidi="pt-BR"/>
        </w:rPr>
        <w:t>.</w:t>
      </w:r>
    </w:p>
    <w:sectPr w:rsidR="005E720B" w:rsidRPr="001530EE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F095E"/>
    <w:multiLevelType w:val="hybridMultilevel"/>
    <w:tmpl w:val="0F42D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B54"/>
    <w:multiLevelType w:val="multilevel"/>
    <w:tmpl w:val="76C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83DF9"/>
    <w:multiLevelType w:val="hybridMultilevel"/>
    <w:tmpl w:val="C64CC426"/>
    <w:lvl w:ilvl="0" w:tplc="A2E6B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87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E4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C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AC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0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C7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88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0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33446"/>
    <w:multiLevelType w:val="multilevel"/>
    <w:tmpl w:val="39C6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469402">
    <w:abstractNumId w:val="2"/>
  </w:num>
  <w:num w:numId="2" w16cid:durableId="1428040359">
    <w:abstractNumId w:val="3"/>
  </w:num>
  <w:num w:numId="3" w16cid:durableId="990980942">
    <w:abstractNumId w:val="1"/>
  </w:num>
  <w:num w:numId="4" w16cid:durableId="200874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0B"/>
    <w:rsid w:val="001530EE"/>
    <w:rsid w:val="005E720B"/>
    <w:rsid w:val="00A86D56"/>
    <w:rsid w:val="00BD116D"/>
    <w:rsid w:val="00D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CC76"/>
  <w15:chartTrackingRefBased/>
  <w15:docId w15:val="{845F90BA-395D-A244-B35F-E95D2058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aconcuadrcula">
    <w:name w:val="Table Grid"/>
    <w:basedOn w:val="Tablanormal"/>
    <w:uiPriority w:val="3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n-US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61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TheRoadTo2025@who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bagaria</dc:creator>
  <cp:keywords/>
  <dc:description/>
  <cp:lastModifiedBy>Cayon, Ms. Arantxa (WDC)</cp:lastModifiedBy>
  <cp:revision>5</cp:revision>
  <dcterms:created xsi:type="dcterms:W3CDTF">2024-05-10T07:07:00Z</dcterms:created>
  <dcterms:modified xsi:type="dcterms:W3CDTF">2024-06-10T19:38:00Z</dcterms:modified>
</cp:coreProperties>
</file>