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D2E9C" w14:textId="77777777" w:rsidR="00E110EE" w:rsidRPr="00C11ACF" w:rsidRDefault="007164F1">
      <w:pPr>
        <w:shd w:val="clear" w:color="auto" w:fill="FFFFFF"/>
        <w:spacing w:line="240" w:lineRule="auto"/>
        <w:jc w:val="center"/>
        <w:rPr>
          <w:rFonts w:ascii="Source Sans Pro" w:hAnsi="Source Sans Pro" w:cs="Noto Sans"/>
          <w:b/>
          <w:bCs/>
          <w:color w:val="3C4245"/>
        </w:rPr>
      </w:pPr>
      <w:r>
        <w:rPr>
          <w:rFonts w:ascii="Source Sans Pro" w:eastAsia="Source Sans Pro" w:hAnsi="Source Sans Pro" w:cs="Noto Sans"/>
          <w:b/>
          <w:color w:val="3C4245"/>
          <w:lang w:bidi="pt-BR"/>
        </w:rPr>
        <w:t xml:space="preserve">Quarta Reunião de Alto Nível da Assembleia Geral da ONU sobre </w:t>
      </w:r>
      <w:r>
        <w:rPr>
          <w:rFonts w:ascii="Source Sans Pro" w:eastAsia="Source Sans Pro" w:hAnsi="Source Sans Pro" w:cs="Noto Sans"/>
          <w:b/>
          <w:color w:val="3C4245"/>
          <w:lang w:bidi="pt-BR"/>
        </w:rPr>
        <w:br/>
        <w:t xml:space="preserve">Prevenção e Controle das </w:t>
      </w:r>
      <w:proofErr w:type="spellStart"/>
      <w:r>
        <w:rPr>
          <w:rFonts w:ascii="Source Sans Pro" w:eastAsia="Source Sans Pro" w:hAnsi="Source Sans Pro" w:cs="Noto Sans"/>
          <w:b/>
          <w:color w:val="3C4245"/>
          <w:lang w:bidi="pt-BR"/>
        </w:rPr>
        <w:t>DNTs</w:t>
      </w:r>
      <w:proofErr w:type="spellEnd"/>
    </w:p>
    <w:p w14:paraId="72AD2E9D" w14:textId="77777777" w:rsidR="00E110EE" w:rsidRPr="00C11ACF" w:rsidRDefault="007164F1">
      <w:pPr>
        <w:shd w:val="clear" w:color="auto" w:fill="FFFFFF"/>
        <w:spacing w:after="0" w:line="240" w:lineRule="auto"/>
        <w:jc w:val="center"/>
        <w:rPr>
          <w:rFonts w:ascii="Source Sans Pro" w:hAnsi="Source Sans Pro" w:cs="Noto Sans"/>
          <w:b/>
          <w:bCs/>
          <w:color w:val="2F5496" w:themeColor="accent1" w:themeShade="BF"/>
          <w:sz w:val="24"/>
          <w:szCs w:val="24"/>
        </w:rPr>
      </w:pPr>
      <w:r>
        <w:rPr>
          <w:rFonts w:ascii="Source Sans Pro" w:eastAsia="Source Sans Pro" w:hAnsi="Source Sans Pro" w:cs="Noto Sans"/>
          <w:b/>
          <w:color w:val="2F5496" w:themeColor="accent1" w:themeShade="BF"/>
          <w:sz w:val="24"/>
          <w:szCs w:val="24"/>
          <w:lang w:bidi="pt-BR"/>
        </w:rPr>
        <w:t>Consulta pela internet: Fase I (1 a 26 de maio de 2024)</w:t>
      </w:r>
    </w:p>
    <w:p w14:paraId="72AD2E9E" w14:textId="77777777" w:rsidR="00E110EE" w:rsidRPr="00C11ACF" w:rsidRDefault="007164F1">
      <w:pPr>
        <w:shd w:val="clear" w:color="auto" w:fill="FFFFFF"/>
        <w:spacing w:after="0" w:line="240" w:lineRule="auto"/>
        <w:jc w:val="center"/>
        <w:rPr>
          <w:rStyle w:val="Textoennegrita"/>
          <w:rFonts w:ascii="Source Sans Pro" w:hAnsi="Source Sans Pro" w:cs="Noto Sans"/>
          <w:color w:val="3C4245"/>
          <w:sz w:val="10"/>
          <w:szCs w:val="10"/>
        </w:rPr>
      </w:pPr>
      <w:r>
        <w:rPr>
          <w:rFonts w:ascii="Source Sans Pro" w:eastAsia="Source Sans Pro" w:hAnsi="Source Sans Pro" w:cs="Noto Sans"/>
          <w:b/>
          <w:color w:val="2F5496" w:themeColor="accent1" w:themeShade="BF"/>
          <w:sz w:val="24"/>
          <w:szCs w:val="24"/>
          <w:lang w:bidi="pt-BR"/>
        </w:rPr>
        <w:t>Comentários gerais sobre as principais áreas prioritárias do Relatório do Diretor-Geral da OMS</w:t>
      </w:r>
      <w:r>
        <w:rPr>
          <w:rFonts w:ascii="Source Sans Pro" w:eastAsia="Source Sans Pro" w:hAnsi="Source Sans Pro" w:cs="Noto Sans"/>
          <w:b/>
          <w:color w:val="3C4245"/>
          <w:sz w:val="30"/>
          <w:szCs w:val="30"/>
          <w:lang w:bidi="pt-BR"/>
        </w:rPr>
        <w:br/>
      </w:r>
    </w:p>
    <w:p w14:paraId="72AD2E9F" w14:textId="77777777" w:rsidR="00E110EE" w:rsidRPr="00C11ACF" w:rsidRDefault="007164F1">
      <w:pPr>
        <w:shd w:val="clear" w:color="auto" w:fill="FFFFFF"/>
        <w:rPr>
          <w:rStyle w:val="Textoennegrita"/>
          <w:rFonts w:ascii="Source Sans Pro" w:hAnsi="Source Sans Pro" w:cstheme="minorHAnsi"/>
          <w:shd w:val="clear" w:color="auto" w:fill="FFFFFF"/>
        </w:rPr>
      </w:pPr>
      <w:r>
        <w:rPr>
          <w:rStyle w:val="Textoennegrita"/>
          <w:rFonts w:ascii="Source Sans Pro" w:eastAsia="Source Sans Pro" w:hAnsi="Source Sans Pro" w:cstheme="minorHAnsi"/>
          <w:shd w:val="clear" w:color="auto" w:fill="FFFFFF"/>
          <w:lang w:bidi="pt-BR"/>
        </w:rPr>
        <w:t>Instruções</w:t>
      </w:r>
    </w:p>
    <w:p w14:paraId="72AD2EA0" w14:textId="3FAA34CC" w:rsidR="00E110EE" w:rsidRPr="00C11ACF" w:rsidRDefault="007164F1">
      <w:pPr>
        <w:shd w:val="clear" w:color="auto" w:fill="FFFFFF"/>
        <w:rPr>
          <w:rStyle w:val="normaltextrun"/>
          <w:rFonts w:ascii="Source Sans Pro" w:hAnsi="Source Sans Pro" w:cs="Calibri"/>
          <w:color w:val="000000"/>
          <w:shd w:val="clear" w:color="auto" w:fill="FFFFFF"/>
        </w:rPr>
      </w:pPr>
      <w:r>
        <w:rPr>
          <w:rStyle w:val="normaltextrun"/>
          <w:rFonts w:ascii="Source Sans Pro" w:eastAsia="Source Sans Pro" w:hAnsi="Source Sans Pro" w:cs="Calibri"/>
          <w:color w:val="000000"/>
          <w:shd w:val="clear" w:color="auto" w:fill="FFFFFF"/>
          <w:lang w:bidi="pt-BR"/>
        </w:rPr>
        <w:t>O plano de ação global da OMS para a prevenção e o controle das doenças não transmissíveis 2013</w:t>
      </w:r>
      <w:r>
        <w:rPr>
          <w:rStyle w:val="normaltextrun"/>
          <w:rFonts w:ascii="Source Sans Pro" w:eastAsia="Source Sans Pro" w:hAnsi="Source Sans Pro" w:cs="Calibri"/>
          <w:i/>
          <w:color w:val="000000"/>
          <w:shd w:val="clear" w:color="auto" w:fill="FFFFFF"/>
          <w:lang w:bidi="pt-BR"/>
        </w:rPr>
        <w:t>–</w:t>
      </w:r>
      <w:r>
        <w:rPr>
          <w:rStyle w:val="normaltextrun"/>
          <w:rFonts w:ascii="Source Sans Pro" w:eastAsia="Source Sans Pro" w:hAnsi="Source Sans Pro" w:cs="Calibri"/>
          <w:color w:val="000000"/>
          <w:shd w:val="clear" w:color="auto" w:fill="FFFFFF"/>
          <w:lang w:bidi="pt-BR"/>
        </w:rPr>
        <w:t>2030 (</w:t>
      </w:r>
      <w:hyperlink r:id="rId4" w:history="1">
        <w:r>
          <w:rPr>
            <w:rStyle w:val="Hipervnculo"/>
            <w:rFonts w:ascii="Source Sans Pro" w:eastAsia="Source Sans Pro" w:hAnsi="Source Sans Pro" w:cs="Calibri"/>
            <w:shd w:val="clear" w:color="auto" w:fill="FFFFFF"/>
            <w:lang w:bidi="pt-BR"/>
          </w:rPr>
          <w:t>NCD-GAP</w:t>
        </w:r>
      </w:hyperlink>
      <w:r>
        <w:rPr>
          <w:rStyle w:val="normaltextrun"/>
          <w:rFonts w:ascii="Source Sans Pro" w:eastAsia="Source Sans Pro" w:hAnsi="Source Sans Pro" w:cs="Calibri"/>
          <w:color w:val="000000"/>
          <w:shd w:val="clear" w:color="auto" w:fill="FFFFFF"/>
          <w:lang w:bidi="pt-BR"/>
        </w:rPr>
        <w:t xml:space="preserve">) fornece um roteiro e um menu de opções de políticas para que todos os Estados Membros e partes interessadas tomem medidas coordenadas e coerentes, em todos os níveis, do local ao mundial, com vistas à consecução das nove metas globais voluntárias. Acelerar o progresso na prevenção e no controle das DNTs, bem como na saúde mental e no bem-estar, exigirá ações exclusivas e colaborativas nos seis objetivos do NCD-GAP, com um foco adicional na redução da poluição do ar e na promoção da saúde mental como parte da agenda 5 por 5 endossada pela </w:t>
      </w:r>
      <w:r>
        <w:rPr>
          <w:rStyle w:val="normaltextrun"/>
          <w:rFonts w:ascii="Source Sans Pro" w:eastAsia="Source Sans Pro" w:hAnsi="Source Sans Pro" w:cs="Calibri"/>
          <w:color w:val="000000"/>
          <w:bdr w:val="none" w:sz="0" w:space="0" w:color="auto" w:frame="1"/>
          <w:lang w:bidi="pt-BR"/>
        </w:rPr>
        <w:t xml:space="preserve">terceira declaração política sobre prevenção e controle das </w:t>
      </w:r>
      <w:proofErr w:type="spellStart"/>
      <w:r>
        <w:rPr>
          <w:rStyle w:val="normaltextrun"/>
          <w:rFonts w:ascii="Source Sans Pro" w:eastAsia="Source Sans Pro" w:hAnsi="Source Sans Pro" w:cs="Calibri"/>
          <w:color w:val="000000"/>
          <w:bdr w:val="none" w:sz="0" w:space="0" w:color="auto" w:frame="1"/>
          <w:lang w:bidi="pt-BR"/>
        </w:rPr>
        <w:t>DNTs</w:t>
      </w:r>
      <w:proofErr w:type="spellEnd"/>
      <w:r>
        <w:rPr>
          <w:rStyle w:val="normaltextrun"/>
          <w:rFonts w:ascii="Source Sans Pro" w:eastAsia="Source Sans Pro" w:hAnsi="Source Sans Pro" w:cs="Calibri"/>
          <w:color w:val="000000"/>
          <w:bdr w:val="none" w:sz="0" w:space="0" w:color="auto" w:frame="1"/>
          <w:lang w:bidi="pt-BR"/>
        </w:rPr>
        <w:t xml:space="preserve"> em 2018.</w:t>
      </w:r>
    </w:p>
    <w:p w14:paraId="72AD2EA1" w14:textId="77777777" w:rsidR="00E110EE" w:rsidRDefault="007164F1">
      <w:pPr>
        <w:shd w:val="clear" w:color="auto" w:fill="FFFFFF" w:themeFill="background1"/>
        <w:spacing w:after="240" w:line="240" w:lineRule="auto"/>
        <w:rPr>
          <w:rStyle w:val="Textoennegrita"/>
          <w:rFonts w:ascii="Source Sans Pro" w:eastAsia="Source Sans Pro" w:hAnsi="Source Sans Pro" w:cstheme="minorHAnsi"/>
          <w:b w:val="0"/>
          <w:shd w:val="clear" w:color="auto" w:fill="FFFFFF"/>
          <w:lang w:bidi="pt-BR"/>
        </w:rPr>
      </w:pPr>
      <w:r>
        <w:rPr>
          <w:rStyle w:val="Textoennegrita"/>
          <w:rFonts w:ascii="Source Sans Pro" w:eastAsia="Source Sans Pro" w:hAnsi="Source Sans Pro" w:cstheme="minorHAnsi"/>
          <w:shd w:val="clear" w:color="auto" w:fill="FFFFFF"/>
          <w:lang w:bidi="pt-BR"/>
        </w:rPr>
        <w:t xml:space="preserve">Use a tabela abaixo para fornecer comentários por escrito sobre as principais áreas prioritárias de cada objetivo que poderão catalisar ações urgentes e a atenção dos Estados Membros e das partes interessadas, a fim de acelerar o progresso na abordagem da prevenção e do manejo das DNTs, na promoção da saúde mental e do bem-estar e no tratamento e atenção aos problemas de saúde mental. Essas contribuições podem nortear as recomendações a serem incluídas no Relatório do Diretor-Geral da OMS para a Assembleia Mundial da Saúde 2025, intitulado </w:t>
      </w:r>
      <w:r>
        <w:rPr>
          <w:rStyle w:val="Textoennegrita"/>
          <w:rFonts w:ascii="Source Sans Pro" w:eastAsia="Source Sans Pro" w:hAnsi="Source Sans Pro" w:cstheme="minorHAnsi"/>
          <w:i/>
          <w:shd w:val="clear" w:color="auto" w:fill="FFFFFF"/>
          <w:lang w:bidi="pt-BR"/>
        </w:rPr>
        <w:t>Preparation for the fourth High-level Meeting of the General Assembly on the Prevention and Control of Non-communicable Diseases, to be held in 2025</w:t>
      </w:r>
      <w:r>
        <w:rPr>
          <w:rStyle w:val="Textoennegrita"/>
          <w:rFonts w:ascii="Source Sans Pro" w:eastAsia="Source Sans Pro" w:hAnsi="Source Sans Pro" w:cstheme="minorHAnsi"/>
          <w:shd w:val="clear" w:color="auto" w:fill="FFFFFF"/>
          <w:lang w:bidi="pt-BR"/>
        </w:rPr>
        <w:t xml:space="preserve"> [Preparação para a Quarta Reunião de Alto Nível da Assembleia Geral sobre Prevenção e Controle de Doenças Não Transmissíveis, a ser realizada em 2025]</w:t>
      </w:r>
      <w:r>
        <w:rPr>
          <w:rStyle w:val="Textoennegrita"/>
          <w:rFonts w:ascii="Source Sans Pro" w:eastAsia="Source Sans Pro" w:hAnsi="Source Sans Pro" w:cstheme="minorHAnsi"/>
          <w:b w:val="0"/>
          <w:shd w:val="clear" w:color="auto" w:fill="FFFFFF"/>
          <w:lang w:bidi="pt-BR"/>
        </w:rPr>
        <w:t xml:space="preserve">. </w:t>
      </w:r>
    </w:p>
    <w:p w14:paraId="049D0462" w14:textId="3FE81A23" w:rsidR="00C11ACF" w:rsidRPr="00C11ACF" w:rsidRDefault="00C11ACF">
      <w:pPr>
        <w:shd w:val="clear" w:color="auto" w:fill="FFFFFF" w:themeFill="background1"/>
        <w:spacing w:after="240" w:line="240" w:lineRule="auto"/>
        <w:rPr>
          <w:rStyle w:val="normaltextrun"/>
          <w:rFonts w:ascii="Source Sans Pro" w:eastAsia="Source Sans Pro" w:hAnsi="Source Sans Pro" w:cs="Calibri"/>
          <w:color w:val="000000"/>
          <w:bdr w:val="none" w:sz="0" w:space="0" w:color="auto" w:frame="1"/>
          <w:lang w:bidi="pt-BR"/>
        </w:rPr>
      </w:pPr>
      <w:r w:rsidRPr="00C11ACF">
        <w:rPr>
          <w:rStyle w:val="normaltextrun"/>
          <w:rFonts w:ascii="Source Sans Pro" w:eastAsia="Source Sans Pro" w:hAnsi="Source Sans Pro" w:cs="Calibri"/>
          <w:color w:val="000000"/>
          <w:bdr w:val="none" w:sz="0" w:space="0" w:color="auto" w:frame="1"/>
          <w:lang w:bidi="pt-BR"/>
        </w:rPr>
        <w:t>Nota:</w:t>
      </w:r>
      <w:r w:rsidRPr="00C11ACF">
        <w:rPr>
          <w:rStyle w:val="normaltextrun"/>
          <w:rFonts w:ascii="Source Sans Pro" w:eastAsia="Source Sans Pro" w:hAnsi="Source Sans Pro" w:cs="Calibri"/>
          <w:i/>
          <w:iCs/>
          <w:color w:val="000000"/>
          <w:bdr w:val="none" w:sz="0" w:space="0" w:color="auto" w:frame="1"/>
          <w:lang w:bidi="pt-BR"/>
        </w:rPr>
        <w:t> É preferível que os formulários sejam preenchidos em inglês, mas aceitará aqueles que estão em outros idiomas oficiais da ONU. Estas últimas serão traduzidas usando um tradutor on-line, para que algumas mensagens possam ser desvirtuadas.</w:t>
      </w:r>
    </w:p>
    <w:tbl>
      <w:tblPr>
        <w:tblW w:w="10350" w:type="dxa"/>
        <w:tblInd w:w="82" w:type="dxa"/>
        <w:tblBorders>
          <w:top w:val="single" w:sz="2" w:space="0" w:color="009ADE"/>
          <w:left w:val="single" w:sz="2" w:space="0" w:color="009ADE"/>
          <w:bottom w:val="single" w:sz="2" w:space="0" w:color="009ADE"/>
          <w:right w:val="single" w:sz="2" w:space="0" w:color="009ADE"/>
          <w:insideH w:val="single" w:sz="2" w:space="0" w:color="009ADE"/>
          <w:insideV w:val="single" w:sz="2" w:space="0" w:color="009A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E110EE" w14:paraId="72AD2EA5" w14:textId="77777777">
        <w:trPr>
          <w:trHeight w:val="345"/>
        </w:trPr>
        <w:tc>
          <w:tcPr>
            <w:tcW w:w="450" w:type="dxa"/>
            <w:shd w:val="clear" w:color="auto" w:fill="009ADE"/>
            <w:hideMark/>
          </w:tcPr>
          <w:p w14:paraId="72AD2EA2" w14:textId="77777777" w:rsidR="00E110EE" w:rsidRDefault="007164F1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ascii="Source Sans Pro" w:eastAsia="Times New Roman" w:hAnsi="Source Sans Pro" w:cs="Calibri"/>
                <w:b/>
                <w:color w:val="FFFFFF"/>
                <w:lang w:bidi="pt-BR"/>
              </w:rPr>
              <w:t>#</w:t>
            </w:r>
          </w:p>
        </w:tc>
        <w:tc>
          <w:tcPr>
            <w:tcW w:w="4950" w:type="dxa"/>
            <w:shd w:val="clear" w:color="auto" w:fill="009ADE"/>
            <w:hideMark/>
          </w:tcPr>
          <w:p w14:paraId="72AD2EA3" w14:textId="77777777" w:rsidR="00E110EE" w:rsidRDefault="007164F1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ascii="Source Sans Pro" w:eastAsia="Times New Roman" w:hAnsi="Source Sans Pro" w:cs="Calibri"/>
                <w:b/>
                <w:color w:val="FFFFFF"/>
                <w:lang w:bidi="pt-BR"/>
              </w:rPr>
              <w:t>Objetivo do NCD-GAP </w:t>
            </w:r>
          </w:p>
        </w:tc>
        <w:tc>
          <w:tcPr>
            <w:tcW w:w="4950" w:type="dxa"/>
            <w:shd w:val="clear" w:color="auto" w:fill="009ADE"/>
            <w:hideMark/>
          </w:tcPr>
          <w:p w14:paraId="72AD2EA4" w14:textId="77777777" w:rsidR="00E110EE" w:rsidRPr="00C11ACF" w:rsidRDefault="007164F1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Source Sans Pro" w:eastAsia="Times New Roman" w:hAnsi="Source Sans Pro" w:cs="Calibri"/>
                <w:b/>
                <w:color w:val="FFFFFF"/>
                <w:lang w:bidi="pt-BR"/>
              </w:rPr>
              <w:t>Comentários sobre as principais áreas prioritárias</w:t>
            </w:r>
          </w:p>
        </w:tc>
      </w:tr>
      <w:tr w:rsidR="00E110EE" w14:paraId="72AD2EA9" w14:textId="77777777">
        <w:trPr>
          <w:trHeight w:val="1011"/>
        </w:trPr>
        <w:tc>
          <w:tcPr>
            <w:tcW w:w="450" w:type="dxa"/>
            <w:shd w:val="clear" w:color="auto" w:fill="FFFFFF"/>
            <w:vAlign w:val="center"/>
            <w:hideMark/>
          </w:tcPr>
          <w:p w14:paraId="72AD2EA6" w14:textId="77777777" w:rsidR="00E110EE" w:rsidRDefault="007164F1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ource Sans Pro" w:eastAsia="Times New Roman" w:hAnsi="Source Sans Pro" w:cs="Calibri"/>
                <w:b/>
                <w:lang w:bidi="pt-BR"/>
              </w:rPr>
              <w:t>1</w:t>
            </w:r>
          </w:p>
        </w:tc>
        <w:tc>
          <w:tcPr>
            <w:tcW w:w="4950" w:type="dxa"/>
            <w:shd w:val="clear" w:color="auto" w:fill="auto"/>
            <w:hideMark/>
          </w:tcPr>
          <w:p w14:paraId="72AD2EA7" w14:textId="77777777" w:rsidR="00E110EE" w:rsidRPr="00C11ACF" w:rsidRDefault="007164F1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Calibri"/>
                <w:lang w:bidi="pt-BR"/>
              </w:rPr>
              <w:t>Aumentar a prioridade atribuída à prevenção e ao controle de doenças não transmissíveis nas agendas de âmbito mundial, regional e nacional e nos objetivos de desenvolvimento acordados internacionalmente, por meio do fortalecimento da cooperação internacional e da incidência política.  </w:t>
            </w:r>
          </w:p>
        </w:tc>
        <w:tc>
          <w:tcPr>
            <w:tcW w:w="4950" w:type="dxa"/>
            <w:shd w:val="clear" w:color="auto" w:fill="auto"/>
            <w:hideMark/>
          </w:tcPr>
          <w:p w14:paraId="72AD2EA8" w14:textId="77777777" w:rsidR="00E110EE" w:rsidRPr="00C11ACF" w:rsidRDefault="00E110EE">
            <w:pPr>
              <w:spacing w:after="0" w:line="240" w:lineRule="auto"/>
              <w:ind w:left="1080"/>
              <w:textAlignment w:val="baseline"/>
              <w:rPr>
                <w:rFonts w:ascii="Source Sans Pro" w:eastAsia="Times New Roman" w:hAnsi="Source Sans Pro" w:cs="Calibri"/>
              </w:rPr>
            </w:pPr>
          </w:p>
        </w:tc>
      </w:tr>
      <w:tr w:rsidR="00E110EE" w14:paraId="72AD2EAD" w14:textId="77777777">
        <w:trPr>
          <w:trHeight w:val="993"/>
        </w:trPr>
        <w:tc>
          <w:tcPr>
            <w:tcW w:w="450" w:type="dxa"/>
            <w:shd w:val="clear" w:color="auto" w:fill="FFFFFF"/>
            <w:vAlign w:val="center"/>
            <w:hideMark/>
          </w:tcPr>
          <w:p w14:paraId="72AD2EAA" w14:textId="77777777" w:rsidR="00E110EE" w:rsidRDefault="007164F1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ource Sans Pro" w:eastAsia="Times New Roman" w:hAnsi="Source Sans Pro" w:cs="Calibri"/>
                <w:b/>
                <w:lang w:bidi="pt-BR"/>
              </w:rPr>
              <w:t>2</w:t>
            </w:r>
          </w:p>
        </w:tc>
        <w:tc>
          <w:tcPr>
            <w:tcW w:w="4950" w:type="dxa"/>
            <w:shd w:val="clear" w:color="auto" w:fill="auto"/>
            <w:hideMark/>
          </w:tcPr>
          <w:p w14:paraId="72AD2EAB" w14:textId="77777777" w:rsidR="00E110EE" w:rsidRPr="00C11ACF" w:rsidRDefault="007164F1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Calibri"/>
                <w:lang w:bidi="pt-BR"/>
              </w:rPr>
              <w:t>Fortalecer a capacidade, liderança, governança, ação multissetorial e parcerias em âmbito nacional a fim de acelerar a resposta dos países para prevenção e controle de doenças não transmissíveis.</w:t>
            </w:r>
          </w:p>
        </w:tc>
        <w:tc>
          <w:tcPr>
            <w:tcW w:w="4950" w:type="dxa"/>
            <w:shd w:val="clear" w:color="auto" w:fill="auto"/>
            <w:hideMark/>
          </w:tcPr>
          <w:p w14:paraId="72AD2EAC" w14:textId="77777777" w:rsidR="00E110EE" w:rsidRPr="00C11ACF" w:rsidRDefault="007164F1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Calibri"/>
                <w:lang w:bidi="pt-BR"/>
              </w:rPr>
              <w:t> </w:t>
            </w:r>
          </w:p>
        </w:tc>
      </w:tr>
      <w:tr w:rsidR="00E110EE" w14:paraId="72AD2EB3" w14:textId="77777777">
        <w:trPr>
          <w:trHeight w:val="723"/>
        </w:trPr>
        <w:tc>
          <w:tcPr>
            <w:tcW w:w="450" w:type="dxa"/>
            <w:shd w:val="clear" w:color="auto" w:fill="FFFFFF"/>
            <w:vAlign w:val="center"/>
            <w:hideMark/>
          </w:tcPr>
          <w:p w14:paraId="72AD2EAE" w14:textId="77777777" w:rsidR="00E110EE" w:rsidRDefault="007164F1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ource Sans Pro" w:eastAsia="Times New Roman" w:hAnsi="Source Sans Pro" w:cs="Calibri"/>
                <w:b/>
                <w:lang w:bidi="pt-BR"/>
              </w:rPr>
              <w:t>3</w:t>
            </w:r>
          </w:p>
        </w:tc>
        <w:tc>
          <w:tcPr>
            <w:tcW w:w="4950" w:type="dxa"/>
            <w:shd w:val="clear" w:color="auto" w:fill="auto"/>
            <w:hideMark/>
          </w:tcPr>
          <w:p w14:paraId="72AD2EAF" w14:textId="77777777" w:rsidR="00E110EE" w:rsidRPr="00C11ACF" w:rsidRDefault="007164F1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Calibri"/>
                <w:lang w:bidi="pt-BR"/>
              </w:rPr>
              <w:t>Reduzir os fatores de risco modificáveis para doenças não transmissíveis e os determinantes sociais subjacentes por meio da criação de ambientes que promovam a saúde.  </w:t>
            </w:r>
          </w:p>
        </w:tc>
        <w:tc>
          <w:tcPr>
            <w:tcW w:w="4950" w:type="dxa"/>
            <w:shd w:val="clear" w:color="auto" w:fill="auto"/>
            <w:hideMark/>
          </w:tcPr>
          <w:p w14:paraId="72AD2EB0" w14:textId="77777777" w:rsidR="00E110EE" w:rsidRPr="00C11ACF" w:rsidRDefault="007164F1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Calibri"/>
                <w:lang w:bidi="pt-BR"/>
              </w:rPr>
              <w:t> </w:t>
            </w:r>
          </w:p>
          <w:p w14:paraId="72AD2EB1" w14:textId="77777777" w:rsidR="00E110EE" w:rsidRPr="00C11ACF" w:rsidRDefault="007164F1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Calibri"/>
                <w:lang w:bidi="pt-BR"/>
              </w:rPr>
              <w:t> </w:t>
            </w:r>
          </w:p>
          <w:p w14:paraId="72AD2EB2" w14:textId="77777777" w:rsidR="00E110EE" w:rsidRPr="00C11ACF" w:rsidRDefault="007164F1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Calibri"/>
                <w:lang w:bidi="pt-BR"/>
              </w:rPr>
              <w:t> </w:t>
            </w:r>
          </w:p>
        </w:tc>
      </w:tr>
      <w:tr w:rsidR="00E110EE" w14:paraId="72AD2EB7" w14:textId="77777777">
        <w:trPr>
          <w:trHeight w:val="993"/>
        </w:trPr>
        <w:tc>
          <w:tcPr>
            <w:tcW w:w="450" w:type="dxa"/>
            <w:shd w:val="clear" w:color="auto" w:fill="FFFFFF"/>
            <w:vAlign w:val="center"/>
            <w:hideMark/>
          </w:tcPr>
          <w:p w14:paraId="72AD2EB4" w14:textId="77777777" w:rsidR="00E110EE" w:rsidRDefault="007164F1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ource Sans Pro" w:eastAsia="Times New Roman" w:hAnsi="Source Sans Pro" w:cs="Calibri"/>
                <w:b/>
                <w:lang w:bidi="pt-BR"/>
              </w:rPr>
              <w:t>4</w:t>
            </w:r>
          </w:p>
        </w:tc>
        <w:tc>
          <w:tcPr>
            <w:tcW w:w="4950" w:type="dxa"/>
            <w:shd w:val="clear" w:color="auto" w:fill="auto"/>
            <w:hideMark/>
          </w:tcPr>
          <w:p w14:paraId="72AD2EB5" w14:textId="77777777" w:rsidR="00E110EE" w:rsidRPr="00C11ACF" w:rsidRDefault="007164F1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Calibri"/>
                <w:lang w:bidi="pt-BR"/>
              </w:rPr>
              <w:t>Fortalecer e orientar os sistemas de saúde para abordar a prevenção e o controle de doenças não transmissíveis e os determinantes sociais subjacentes por meio da atenção primária à saúde centrada nas pessoas e da cobertura universal de saúde.  </w:t>
            </w:r>
          </w:p>
        </w:tc>
        <w:tc>
          <w:tcPr>
            <w:tcW w:w="4950" w:type="dxa"/>
            <w:shd w:val="clear" w:color="auto" w:fill="auto"/>
            <w:hideMark/>
          </w:tcPr>
          <w:p w14:paraId="72AD2EB6" w14:textId="77777777" w:rsidR="00E110EE" w:rsidRPr="00C11ACF" w:rsidRDefault="00E110EE">
            <w:pPr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</w:rPr>
            </w:pPr>
          </w:p>
        </w:tc>
      </w:tr>
      <w:tr w:rsidR="00E110EE" w14:paraId="72AD2EBB" w14:textId="77777777">
        <w:trPr>
          <w:trHeight w:val="885"/>
        </w:trPr>
        <w:tc>
          <w:tcPr>
            <w:tcW w:w="450" w:type="dxa"/>
            <w:shd w:val="clear" w:color="auto" w:fill="FFFFFF"/>
            <w:vAlign w:val="center"/>
            <w:hideMark/>
          </w:tcPr>
          <w:p w14:paraId="72AD2EB8" w14:textId="77777777" w:rsidR="00E110EE" w:rsidRDefault="007164F1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ource Sans Pro" w:eastAsia="Times New Roman" w:hAnsi="Source Sans Pro" w:cs="Calibri"/>
                <w:b/>
                <w:lang w:bidi="pt-BR"/>
              </w:rPr>
              <w:lastRenderedPageBreak/>
              <w:t>5</w:t>
            </w:r>
          </w:p>
        </w:tc>
        <w:tc>
          <w:tcPr>
            <w:tcW w:w="4950" w:type="dxa"/>
            <w:shd w:val="clear" w:color="auto" w:fill="auto"/>
            <w:hideMark/>
          </w:tcPr>
          <w:p w14:paraId="72AD2EB9" w14:textId="77777777" w:rsidR="00E110EE" w:rsidRPr="00C11ACF" w:rsidRDefault="007164F1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Calibri"/>
                <w:lang w:bidi="pt-BR"/>
              </w:rPr>
              <w:t>Promover e apoiar a capacidade nacional de pesquisa e desenvolvimento de alta qualidade para a prevenção e o controle de doenças não transmissíveis.  </w:t>
            </w:r>
          </w:p>
        </w:tc>
        <w:tc>
          <w:tcPr>
            <w:tcW w:w="4950" w:type="dxa"/>
            <w:shd w:val="clear" w:color="auto" w:fill="auto"/>
            <w:hideMark/>
          </w:tcPr>
          <w:p w14:paraId="72AD2EBA" w14:textId="77777777" w:rsidR="00E110EE" w:rsidRPr="00C11ACF" w:rsidRDefault="007164F1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Calibri"/>
                <w:lang w:bidi="pt-BR"/>
              </w:rPr>
              <w:t> </w:t>
            </w:r>
          </w:p>
        </w:tc>
      </w:tr>
      <w:tr w:rsidR="00E110EE" w14:paraId="72AD2EBF" w14:textId="77777777">
        <w:trPr>
          <w:trHeight w:val="615"/>
        </w:trPr>
        <w:tc>
          <w:tcPr>
            <w:tcW w:w="450" w:type="dxa"/>
            <w:shd w:val="clear" w:color="auto" w:fill="FFFFFF"/>
            <w:vAlign w:val="center"/>
            <w:hideMark/>
          </w:tcPr>
          <w:p w14:paraId="72AD2EBC" w14:textId="77777777" w:rsidR="00E110EE" w:rsidRDefault="007164F1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ource Sans Pro" w:eastAsia="Times New Roman" w:hAnsi="Source Sans Pro" w:cs="Calibri"/>
                <w:b/>
                <w:lang w:bidi="pt-BR"/>
              </w:rPr>
              <w:t>6</w:t>
            </w:r>
          </w:p>
        </w:tc>
        <w:tc>
          <w:tcPr>
            <w:tcW w:w="4950" w:type="dxa"/>
            <w:shd w:val="clear" w:color="auto" w:fill="auto"/>
            <w:hideMark/>
          </w:tcPr>
          <w:p w14:paraId="72AD2EBD" w14:textId="77777777" w:rsidR="00E110EE" w:rsidRPr="00C11ACF" w:rsidRDefault="007164F1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Calibri"/>
                <w:lang w:bidi="pt-BR"/>
              </w:rPr>
              <w:t>Monitorar as tendências e os determinantes das doenças não transmissíveis e avaliar o progresso em sua prevenção e controle. </w:t>
            </w:r>
          </w:p>
        </w:tc>
        <w:tc>
          <w:tcPr>
            <w:tcW w:w="4950" w:type="dxa"/>
            <w:shd w:val="clear" w:color="auto" w:fill="auto"/>
            <w:hideMark/>
          </w:tcPr>
          <w:p w14:paraId="72AD2EBE" w14:textId="77777777" w:rsidR="00E110EE" w:rsidRPr="00C11ACF" w:rsidRDefault="007164F1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Calibri"/>
                <w:lang w:bidi="pt-BR"/>
              </w:rPr>
              <w:t> </w:t>
            </w:r>
          </w:p>
        </w:tc>
      </w:tr>
      <w:tr w:rsidR="00E110EE" w14:paraId="72AD2EC3" w14:textId="77777777">
        <w:trPr>
          <w:trHeight w:val="543"/>
        </w:trPr>
        <w:tc>
          <w:tcPr>
            <w:tcW w:w="450" w:type="dxa"/>
            <w:shd w:val="clear" w:color="auto" w:fill="FFFFFF"/>
            <w:vAlign w:val="center"/>
          </w:tcPr>
          <w:p w14:paraId="72AD2EC0" w14:textId="77777777" w:rsidR="00E110EE" w:rsidRDefault="007164F1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Calibri"/>
                <w:b/>
                <w:bCs/>
                <w:lang w:val="en-GB"/>
              </w:rPr>
            </w:pPr>
            <w:r>
              <w:rPr>
                <w:rFonts w:ascii="Source Sans Pro" w:eastAsia="Times New Roman" w:hAnsi="Source Sans Pro" w:cs="Calibri"/>
                <w:b/>
                <w:lang w:bidi="pt-BR"/>
              </w:rPr>
              <w:t>*</w:t>
            </w:r>
          </w:p>
        </w:tc>
        <w:tc>
          <w:tcPr>
            <w:tcW w:w="4950" w:type="dxa"/>
            <w:shd w:val="clear" w:color="auto" w:fill="auto"/>
          </w:tcPr>
          <w:p w14:paraId="72AD2EC1" w14:textId="77777777" w:rsidR="00E110EE" w:rsidRPr="00C11ACF" w:rsidRDefault="007164F1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Calibri"/>
              </w:rPr>
            </w:pPr>
            <w:r>
              <w:rPr>
                <w:rFonts w:ascii="Source Sans Pro" w:eastAsia="Times New Roman" w:hAnsi="Source Sans Pro" w:cs="Calibri"/>
                <w:i/>
                <w:lang w:bidi="pt-BR"/>
              </w:rPr>
              <w:t>Objetivo adicional:</w:t>
            </w:r>
            <w:r>
              <w:rPr>
                <w:rFonts w:ascii="Source Sans Pro" w:eastAsia="Times New Roman" w:hAnsi="Source Sans Pro" w:cs="Calibri"/>
                <w:lang w:bidi="pt-BR"/>
              </w:rPr>
              <w:t xml:space="preserve"> Promover a saúde mental e o bem-estar como um componente vital para a consecução da meta 3.4 dos ODS.</w:t>
            </w:r>
          </w:p>
        </w:tc>
        <w:tc>
          <w:tcPr>
            <w:tcW w:w="4950" w:type="dxa"/>
            <w:shd w:val="clear" w:color="auto" w:fill="auto"/>
          </w:tcPr>
          <w:p w14:paraId="72AD2EC2" w14:textId="77777777" w:rsidR="00E110EE" w:rsidRPr="00C11ACF" w:rsidRDefault="00E110EE">
            <w:pPr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</w:rPr>
            </w:pPr>
          </w:p>
        </w:tc>
      </w:tr>
    </w:tbl>
    <w:p w14:paraId="72AD2EC4" w14:textId="77777777" w:rsidR="00E110EE" w:rsidRPr="00C11ACF" w:rsidRDefault="007164F1">
      <w:pPr>
        <w:shd w:val="clear" w:color="auto" w:fill="FFFFFF"/>
        <w:spacing w:after="0" w:line="240" w:lineRule="auto"/>
        <w:jc w:val="center"/>
        <w:outlineLvl w:val="0"/>
        <w:rPr>
          <w:rFonts w:ascii="Source Sans Pro" w:hAnsi="Source Sans Pro"/>
          <w:b/>
          <w:bCs/>
          <w:color w:val="C00000"/>
        </w:rPr>
      </w:pPr>
      <w:r>
        <w:rPr>
          <w:rFonts w:ascii="Source Sans Pro" w:eastAsia="Source Sans Pro" w:hAnsi="Source Sans Pro" w:cs="Source Sans Pro"/>
          <w:b/>
          <w:color w:val="C00000"/>
          <w:lang w:bidi="pt-BR"/>
        </w:rPr>
        <w:br/>
        <w:t xml:space="preserve">Envie este formulário preenchido para </w:t>
      </w:r>
      <w:hyperlink r:id="rId5">
        <w:r>
          <w:rPr>
            <w:rStyle w:val="Hipervnculo"/>
            <w:rFonts w:ascii="Source Sans Pro" w:eastAsia="Source Sans Pro" w:hAnsi="Source Sans Pro" w:cs="Source Sans Pro"/>
            <w:b/>
            <w:color w:val="C00000"/>
            <w:lang w:bidi="pt-BR"/>
          </w:rPr>
          <w:t>OnTheRoadTo2025@who.int</w:t>
        </w:r>
      </w:hyperlink>
      <w:r>
        <w:rPr>
          <w:rFonts w:ascii="Source Sans Pro" w:eastAsia="Source Sans Pro" w:hAnsi="Source Sans Pro" w:cs="Source Sans Pro"/>
          <w:b/>
          <w:color w:val="C00000"/>
          <w:lang w:bidi="pt-BR"/>
        </w:rPr>
        <w:t xml:space="preserve"> no período de 1 a 26 de maio de 2024</w:t>
      </w:r>
      <w:r>
        <w:rPr>
          <w:rFonts w:ascii="Source Sans Pro" w:eastAsia="Source Sans Pro" w:hAnsi="Source Sans Pro" w:cs="Source Sans Pro"/>
          <w:color w:val="C00000"/>
          <w:lang w:bidi="pt-BR"/>
        </w:rPr>
        <w:t>.</w:t>
      </w:r>
    </w:p>
    <w:sectPr w:rsidR="00E110EE" w:rsidRPr="00C11A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EE"/>
    <w:rsid w:val="007164F1"/>
    <w:rsid w:val="00A86D56"/>
    <w:rsid w:val="00BD116D"/>
    <w:rsid w:val="00C11ACF"/>
    <w:rsid w:val="00E1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2E9C"/>
  <w15:chartTrackingRefBased/>
  <w15:docId w15:val="{62A67373-5554-43EC-BCAD-7775FC10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customStyle="1" w:styleId="normaltextrun">
    <w:name w:val="normaltextrun"/>
    <w:basedOn w:val="Fuentedeprrafopredeter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C11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TheRoadTo2025@who.int" TargetMode="External"/><Relationship Id="rId4" Type="http://schemas.openxmlformats.org/officeDocument/2006/relationships/hyperlink" Target="https://www.who.int/publications/i/item/9789241506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SPACKMAN, Susan</dc:creator>
  <cp:keywords/>
  <dc:description/>
  <cp:lastModifiedBy>Cayon, Ms. Arantxa (WDC)</cp:lastModifiedBy>
  <cp:revision>7</cp:revision>
  <dcterms:created xsi:type="dcterms:W3CDTF">2024-04-29T14:22:00Z</dcterms:created>
  <dcterms:modified xsi:type="dcterms:W3CDTF">2024-06-10T19:36:00Z</dcterms:modified>
</cp:coreProperties>
</file>